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D8" w:rsidRPr="0048491B" w:rsidRDefault="00B21BD8" w:rsidP="00B21BD8">
      <w:pPr>
        <w:pStyle w:val="Header"/>
        <w:jc w:val="center"/>
        <w:rPr>
          <w:rFonts w:ascii="Calibri" w:hAnsi="Calibri"/>
          <w:b/>
          <w:color w:val="808000"/>
          <w:sz w:val="28"/>
          <w:szCs w:val="28"/>
        </w:rPr>
      </w:pPr>
      <w:smartTag w:uri="urn:schemas-microsoft-com:office:smarttags" w:element="place">
        <w:r>
          <w:rPr>
            <w:rFonts w:ascii="Calibri" w:hAnsi="Calibri"/>
            <w:b/>
            <w:color w:val="808000"/>
            <w:sz w:val="28"/>
            <w:szCs w:val="28"/>
          </w:rPr>
          <w:t>Western North Dakota</w:t>
        </w:r>
      </w:smartTag>
      <w:r>
        <w:rPr>
          <w:rFonts w:ascii="Calibri" w:hAnsi="Calibri"/>
          <w:b/>
          <w:color w:val="808000"/>
          <w:sz w:val="28"/>
          <w:szCs w:val="28"/>
        </w:rPr>
        <w:t xml:space="preserve"> Energy Project</w:t>
      </w:r>
    </w:p>
    <w:p w:rsidR="00B21BD8" w:rsidRDefault="00B21BD8" w:rsidP="00B21BD8">
      <w:pPr>
        <w:jc w:val="center"/>
        <w:rPr>
          <w:rFonts w:ascii="Calibri" w:hAnsi="Calibri"/>
          <w:b/>
          <w:sz w:val="20"/>
          <w:szCs w:val="20"/>
        </w:rPr>
      </w:pPr>
    </w:p>
    <w:p w:rsidR="00B21BD8" w:rsidRPr="00043B63" w:rsidRDefault="00B21BD8" w:rsidP="00B21BD8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Briefing 8</w:t>
      </w:r>
    </w:p>
    <w:p w:rsidR="00B21BD8" w:rsidRDefault="00B21BD8" w:rsidP="00B21BD8">
      <w:pPr>
        <w:jc w:val="center"/>
        <w:rPr>
          <w:rFonts w:ascii="Calibri" w:hAnsi="Calibri"/>
          <w:b/>
          <w:color w:val="808000"/>
          <w:sz w:val="28"/>
          <w:szCs w:val="28"/>
        </w:rPr>
      </w:pPr>
      <w:r>
        <w:rPr>
          <w:rFonts w:ascii="Calibri" w:hAnsi="Calibri"/>
          <w:b/>
          <w:color w:val="808000"/>
          <w:sz w:val="28"/>
          <w:szCs w:val="28"/>
        </w:rPr>
        <w:t>Emergency Response in Shale Country</w:t>
      </w:r>
    </w:p>
    <w:p w:rsidR="00B21BD8" w:rsidRDefault="00B21BD8" w:rsidP="00B21BD8">
      <w:pPr>
        <w:jc w:val="center"/>
        <w:rPr>
          <w:rFonts w:ascii="Calibri" w:hAnsi="Calibri"/>
          <w:b/>
          <w:i/>
          <w:color w:val="808000"/>
          <w:sz w:val="28"/>
          <w:szCs w:val="28"/>
        </w:rPr>
      </w:pPr>
      <w:r>
        <w:rPr>
          <w:rFonts w:ascii="Calibri" w:hAnsi="Calibri"/>
          <w:b/>
          <w:i/>
          <w:color w:val="808000"/>
          <w:sz w:val="28"/>
          <w:szCs w:val="28"/>
        </w:rPr>
        <w:t xml:space="preserve">Craig </w:t>
      </w:r>
      <w:proofErr w:type="spellStart"/>
      <w:r>
        <w:rPr>
          <w:rFonts w:ascii="Calibri" w:hAnsi="Calibri"/>
          <w:b/>
          <w:i/>
          <w:color w:val="808000"/>
          <w:sz w:val="28"/>
          <w:szCs w:val="28"/>
        </w:rPr>
        <w:t>Konkle</w:t>
      </w:r>
      <w:proofErr w:type="spellEnd"/>
      <w:r>
        <w:rPr>
          <w:rFonts w:ascii="Calibri" w:hAnsi="Calibri"/>
          <w:b/>
          <w:i/>
          <w:color w:val="808000"/>
          <w:sz w:val="28"/>
          <w:szCs w:val="28"/>
        </w:rPr>
        <w:t xml:space="preserve"> &amp; Will Gay</w:t>
      </w:r>
    </w:p>
    <w:p w:rsidR="00B21BD8" w:rsidRDefault="00B21BD8" w:rsidP="00B21BD8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December 7, 2012</w:t>
      </w:r>
    </w:p>
    <w:p w:rsidR="0045541D" w:rsidRDefault="0045541D"/>
    <w:tbl>
      <w:tblPr>
        <w:tblpPr w:leftFromText="180" w:rightFromText="180" w:vertAnchor="page" w:horzAnchor="margin" w:tblpY="303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7830"/>
      </w:tblGrid>
      <w:tr w:rsidR="00B21BD8" w:rsidRPr="00FD2AE1" w:rsidTr="008A0670">
        <w:trPr>
          <w:trHeight w:val="495"/>
        </w:trPr>
        <w:tc>
          <w:tcPr>
            <w:tcW w:w="1638" w:type="dxa"/>
            <w:shd w:val="clear" w:color="auto" w:fill="auto"/>
          </w:tcPr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2AE1">
              <w:rPr>
                <w:rFonts w:ascii="Calibri" w:hAnsi="Calibri"/>
                <w:b/>
                <w:sz w:val="22"/>
                <w:szCs w:val="22"/>
              </w:rPr>
              <w:t>Presenters</w:t>
            </w:r>
          </w:p>
        </w:tc>
        <w:tc>
          <w:tcPr>
            <w:tcW w:w="7830" w:type="dxa"/>
            <w:shd w:val="clear" w:color="auto" w:fill="auto"/>
          </w:tcPr>
          <w:p w:rsidR="00B21BD8" w:rsidRPr="00FD2AE1" w:rsidRDefault="00B21BD8" w:rsidP="008A0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Craig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Konkle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FB1687">
              <w:rPr>
                <w:rFonts w:ascii="Calibri" w:hAnsi="Calibri"/>
                <w:sz w:val="20"/>
                <w:szCs w:val="20"/>
              </w:rPr>
              <w:t>Emergency Response Coordinator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FB1687">
              <w:rPr>
                <w:rFonts w:ascii="Calibri" w:hAnsi="Calibri"/>
                <w:sz w:val="20"/>
                <w:szCs w:val="20"/>
              </w:rPr>
              <w:t>Lycoming County, PA Dept of Public Safety</w:t>
            </w: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Will Gay, </w:t>
            </w:r>
            <w:r w:rsidRPr="00FB1687">
              <w:rPr>
                <w:rFonts w:ascii="Calibri" w:hAnsi="Calibri"/>
                <w:sz w:val="20"/>
                <w:szCs w:val="20"/>
              </w:rPr>
              <w:t>Safety Coordinator, Flint Energy Resources &amp; Sublette County, Wyoming</w:t>
            </w:r>
          </w:p>
        </w:tc>
      </w:tr>
      <w:tr w:rsidR="00B21BD8" w:rsidRPr="00FD2AE1" w:rsidTr="008A0670">
        <w:trPr>
          <w:trHeight w:val="8108"/>
        </w:trPr>
        <w:tc>
          <w:tcPr>
            <w:tcW w:w="1638" w:type="dxa"/>
            <w:shd w:val="clear" w:color="auto" w:fill="auto"/>
          </w:tcPr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2AE1">
              <w:rPr>
                <w:rFonts w:ascii="Calibri" w:hAnsi="Calibri"/>
                <w:b/>
                <w:sz w:val="22"/>
                <w:szCs w:val="22"/>
              </w:rPr>
              <w:t>Key Insights</w:t>
            </w:r>
          </w:p>
        </w:tc>
        <w:tc>
          <w:tcPr>
            <w:tcW w:w="7830" w:type="dxa"/>
            <w:shd w:val="clear" w:color="auto" w:fill="auto"/>
          </w:tcPr>
          <w:p w:rsidR="00B21BD8" w:rsidRDefault="00B21BD8" w:rsidP="008A06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Community Gas Task Force:  </w:t>
            </w:r>
            <w:r w:rsidRPr="005E4171">
              <w:rPr>
                <w:rFonts w:ascii="Calibri" w:hAnsi="Calibri"/>
                <w:sz w:val="20"/>
                <w:szCs w:val="20"/>
              </w:rPr>
              <w:t xml:space="preserve">Craig </w:t>
            </w:r>
            <w:proofErr w:type="spellStart"/>
            <w:r w:rsidRPr="005E4171">
              <w:rPr>
                <w:rFonts w:ascii="Calibri" w:hAnsi="Calibri"/>
                <w:sz w:val="20"/>
                <w:szCs w:val="20"/>
              </w:rPr>
              <w:t>Konkle</w:t>
            </w:r>
            <w:proofErr w:type="spellEnd"/>
            <w:r w:rsidRPr="005E4171">
              <w:rPr>
                <w:rFonts w:ascii="Calibri" w:hAnsi="Calibri"/>
                <w:sz w:val="20"/>
                <w:szCs w:val="20"/>
              </w:rPr>
              <w:t xml:space="preserve"> began by describing how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05647">
              <w:rPr>
                <w:rFonts w:ascii="Calibri" w:hAnsi="Calibri"/>
                <w:sz w:val="20"/>
                <w:szCs w:val="20"/>
              </w:rPr>
              <w:t>Lycoming County has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 task force with several sub-committees to address different types of impacts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The public safety sub-committee includes state and local managers and planners for safety issues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County task forces are a best practice in Pennsylvania.</w:t>
            </w:r>
          </w:p>
          <w:p w:rsidR="00B21BD8" w:rsidRPr="00005647" w:rsidRDefault="00B21BD8" w:rsidP="008A0670">
            <w:pPr>
              <w:rPr>
                <w:rFonts w:ascii="Calibri" w:hAnsi="Calibri"/>
                <w:sz w:val="20"/>
                <w:szCs w:val="20"/>
              </w:rPr>
            </w:pPr>
          </w:p>
          <w:p w:rsidR="00B21BD8" w:rsidRDefault="00B21BD8" w:rsidP="008A06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Industry Relationships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The first problem during an energy boom is to determine what operators are drilling in your county and where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Both speakers agreed that face-to-face meeting with industry representatives is the most important first step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Industry shares the county’s interest in avoiding public safety emergencies in the first place is often willing to spend resources toward emergency response improvements.</w:t>
            </w:r>
          </w:p>
          <w:p w:rsidR="00B21BD8" w:rsidRDefault="00B21BD8" w:rsidP="008A0670">
            <w:pPr>
              <w:rPr>
                <w:rFonts w:ascii="Calibri" w:hAnsi="Calibri"/>
                <w:sz w:val="20"/>
                <w:szCs w:val="20"/>
              </w:rPr>
            </w:pPr>
          </w:p>
          <w:p w:rsidR="00B21BD8" w:rsidRDefault="00B21BD8" w:rsidP="008A067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Well Addressing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PA has a 911 system that requires a specific GPS address with driving instructions be attached to every new structure in the county, including wells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This is linked to a county software system that shows where emergencies are in relation to other wells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Evacuation perimeters can be easily established and the info communicated back to industry experts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PA even passed a bill requiring uniform signs be placed at each well location to assure responders that they have found the right place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PA also requires developers to report to 911 when they are flaring wells, so as to reassure citizens calling in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Will Gay noted that Wyoming is not as sophisticated, with many roads having only BLM designations and multiple local names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One developer does share data with all company well locations directly with EMS responders, and industry has been happy to put signs at confusing intersections to guide responders.</w:t>
            </w:r>
          </w:p>
          <w:p w:rsidR="00B21BD8" w:rsidRDefault="00B21BD8" w:rsidP="008A0670">
            <w:pPr>
              <w:rPr>
                <w:rFonts w:ascii="Calibri" w:hAnsi="Calibri"/>
                <w:sz w:val="20"/>
                <w:szCs w:val="20"/>
              </w:rPr>
            </w:pPr>
          </w:p>
          <w:p w:rsidR="00B21BD8" w:rsidRDefault="00B21BD8" w:rsidP="008A06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Training Responders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spellStart"/>
            <w:proofErr w:type="gramEnd"/>
            <w:r>
              <w:rPr>
                <w:rFonts w:ascii="Calibri" w:hAnsi="Calibri"/>
                <w:sz w:val="20"/>
                <w:szCs w:val="20"/>
              </w:rPr>
              <w:t>Konkle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talked of 35 different volunteer fire departments in his county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While they would not be asked to put out fires in the well bore, they may encounter many types of specialized situations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Industry paid $300K, and Lycoming County developed a 4 hour training called “</w:t>
            </w:r>
            <w:proofErr w:type="spellStart"/>
            <w:r w:rsidRPr="00CB5A2E">
              <w:rPr>
                <w:rFonts w:ascii="Calibri" w:hAnsi="Calibri"/>
                <w:i/>
                <w:sz w:val="20"/>
                <w:szCs w:val="20"/>
              </w:rPr>
              <w:t>Wellsite</w:t>
            </w:r>
            <w:proofErr w:type="spellEnd"/>
            <w:r w:rsidRPr="00CB5A2E">
              <w:rPr>
                <w:rFonts w:ascii="Calibri" w:hAnsi="Calibri"/>
                <w:i/>
                <w:sz w:val="20"/>
                <w:szCs w:val="20"/>
              </w:rPr>
              <w:t xml:space="preserve"> Emergencies for First Responders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”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This is the first of its kind, and industry pays for the training with any local responder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Another company paid $80K to conduct a full simulation of 5 types of emergencies at one of its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wellsites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in order to analyze where gaps in service exist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This has led to building a training facility at the PA College of Technology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Don Longmuir of Mountrail County added several questions and comments.</w:t>
            </w:r>
          </w:p>
          <w:p w:rsidR="00B21BD8" w:rsidRDefault="00B21BD8" w:rsidP="008A0670">
            <w:pPr>
              <w:rPr>
                <w:rFonts w:ascii="Calibri" w:hAnsi="Calibri"/>
                <w:sz w:val="20"/>
                <w:szCs w:val="20"/>
              </w:rPr>
            </w:pPr>
          </w:p>
          <w:p w:rsidR="00B21BD8" w:rsidRDefault="00B21BD8" w:rsidP="008A067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AA3BCB">
              <w:rPr>
                <w:rFonts w:ascii="Calibri" w:hAnsi="Calibri"/>
                <w:b/>
                <w:sz w:val="20"/>
                <w:szCs w:val="20"/>
              </w:rPr>
              <w:t>Volunteer Burnout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Both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Konkle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Gay noted the issue of burning out volunteers with the increased frequency and complexity of calls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Sublette County has a rural health district that funds 27 paid EMTs with property tax revenues.</w:t>
            </w:r>
          </w:p>
          <w:p w:rsidR="00B21BD8" w:rsidRDefault="00B21BD8" w:rsidP="008A0670">
            <w:pPr>
              <w:rPr>
                <w:rFonts w:ascii="Calibri" w:hAnsi="Calibri"/>
                <w:sz w:val="20"/>
                <w:szCs w:val="20"/>
              </w:rPr>
            </w:pPr>
          </w:p>
          <w:p w:rsidR="00B21BD8" w:rsidRPr="00DE69A4" w:rsidRDefault="00B21BD8" w:rsidP="008A067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Dealing with Distance &amp; Isolation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Gay described the distances to any EMS service and especially to hospitals in his region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Industry and county collaboratively built a new facility with new ambulance at Sand Draw in order to shorten response times.</w:t>
            </w:r>
          </w:p>
        </w:tc>
      </w:tr>
      <w:tr w:rsidR="00B21BD8" w:rsidRPr="00FD2AE1" w:rsidTr="008A0670">
        <w:trPr>
          <w:trHeight w:val="647"/>
        </w:trPr>
        <w:tc>
          <w:tcPr>
            <w:tcW w:w="1638" w:type="dxa"/>
            <w:shd w:val="clear" w:color="auto" w:fill="auto"/>
          </w:tcPr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2AE1">
              <w:rPr>
                <w:rFonts w:ascii="Calibri" w:hAnsi="Calibri"/>
                <w:b/>
                <w:sz w:val="22"/>
                <w:szCs w:val="22"/>
              </w:rPr>
              <w:t>Supporting</w:t>
            </w:r>
          </w:p>
          <w:p w:rsidR="00B21BD8" w:rsidRPr="00FD2AE1" w:rsidRDefault="00B21BD8" w:rsidP="008A06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2AE1">
              <w:rPr>
                <w:rFonts w:ascii="Calibri" w:hAnsi="Calibri"/>
                <w:b/>
                <w:sz w:val="22"/>
                <w:szCs w:val="22"/>
              </w:rPr>
              <w:t>Research</w:t>
            </w:r>
          </w:p>
        </w:tc>
        <w:tc>
          <w:tcPr>
            <w:tcW w:w="7830" w:type="dxa"/>
            <w:shd w:val="clear" w:color="auto" w:fill="auto"/>
          </w:tcPr>
          <w:p w:rsidR="00B21BD8" w:rsidRPr="00FD2AE1" w:rsidRDefault="00B21BD8" w:rsidP="008A0670">
            <w:pPr>
              <w:rPr>
                <w:rFonts w:ascii="Calibri" w:hAnsi="Calibri"/>
                <w:sz w:val="20"/>
                <w:szCs w:val="20"/>
              </w:rPr>
            </w:pPr>
            <w:r w:rsidRPr="00FD2AE1">
              <w:rPr>
                <w:rFonts w:ascii="Calibri" w:hAnsi="Calibri"/>
                <w:sz w:val="20"/>
                <w:szCs w:val="20"/>
              </w:rPr>
              <w:t xml:space="preserve">The Project Electronic Library has </w:t>
            </w:r>
            <w:r>
              <w:rPr>
                <w:rFonts w:ascii="Calibri" w:hAnsi="Calibri"/>
                <w:sz w:val="20"/>
                <w:szCs w:val="20"/>
              </w:rPr>
              <w:t>the slide presentations as separate documents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They contain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more detailed information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</w:t>
            </w:r>
            <w:r w:rsidRPr="00FD2AE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B21BD8" w:rsidRDefault="00B21BD8"/>
    <w:sectPr w:rsidR="00B21BD8" w:rsidSect="00B21B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1BD8"/>
    <w:rsid w:val="00005786"/>
    <w:rsid w:val="00014C9B"/>
    <w:rsid w:val="000369CD"/>
    <w:rsid w:val="00052DA4"/>
    <w:rsid w:val="0009724A"/>
    <w:rsid w:val="000E5DFB"/>
    <w:rsid w:val="000F3C60"/>
    <w:rsid w:val="00105580"/>
    <w:rsid w:val="00136753"/>
    <w:rsid w:val="00160039"/>
    <w:rsid w:val="00166CF8"/>
    <w:rsid w:val="001A2075"/>
    <w:rsid w:val="002275FF"/>
    <w:rsid w:val="002528C4"/>
    <w:rsid w:val="00255B37"/>
    <w:rsid w:val="00262865"/>
    <w:rsid w:val="00281038"/>
    <w:rsid w:val="002C4D88"/>
    <w:rsid w:val="002F0B83"/>
    <w:rsid w:val="002F5556"/>
    <w:rsid w:val="0031334B"/>
    <w:rsid w:val="00336A75"/>
    <w:rsid w:val="00360B0B"/>
    <w:rsid w:val="00371E61"/>
    <w:rsid w:val="00383905"/>
    <w:rsid w:val="00396F95"/>
    <w:rsid w:val="003B3EFF"/>
    <w:rsid w:val="003C11BC"/>
    <w:rsid w:val="003E0C2D"/>
    <w:rsid w:val="003F47C0"/>
    <w:rsid w:val="00444A2A"/>
    <w:rsid w:val="0045541D"/>
    <w:rsid w:val="004862F4"/>
    <w:rsid w:val="00487DAC"/>
    <w:rsid w:val="00497242"/>
    <w:rsid w:val="004A2CE4"/>
    <w:rsid w:val="004A4AAA"/>
    <w:rsid w:val="004A605A"/>
    <w:rsid w:val="005377E1"/>
    <w:rsid w:val="005610AA"/>
    <w:rsid w:val="00592EE0"/>
    <w:rsid w:val="005B71A0"/>
    <w:rsid w:val="005D386F"/>
    <w:rsid w:val="006536AB"/>
    <w:rsid w:val="006669FD"/>
    <w:rsid w:val="006A0153"/>
    <w:rsid w:val="006B3C31"/>
    <w:rsid w:val="006C1424"/>
    <w:rsid w:val="006D6502"/>
    <w:rsid w:val="006E38A5"/>
    <w:rsid w:val="00711133"/>
    <w:rsid w:val="00723680"/>
    <w:rsid w:val="0074664E"/>
    <w:rsid w:val="00782269"/>
    <w:rsid w:val="007C567C"/>
    <w:rsid w:val="007C6CE4"/>
    <w:rsid w:val="008332D5"/>
    <w:rsid w:val="008C7855"/>
    <w:rsid w:val="009118E5"/>
    <w:rsid w:val="00927A59"/>
    <w:rsid w:val="009421AC"/>
    <w:rsid w:val="0095020D"/>
    <w:rsid w:val="009515B2"/>
    <w:rsid w:val="00961937"/>
    <w:rsid w:val="00964A9F"/>
    <w:rsid w:val="0096743D"/>
    <w:rsid w:val="009A20E2"/>
    <w:rsid w:val="009C534C"/>
    <w:rsid w:val="009D5D8C"/>
    <w:rsid w:val="00A06E19"/>
    <w:rsid w:val="00A148CC"/>
    <w:rsid w:val="00A63D84"/>
    <w:rsid w:val="00AE7BB7"/>
    <w:rsid w:val="00AE7DBC"/>
    <w:rsid w:val="00B21BD8"/>
    <w:rsid w:val="00B30047"/>
    <w:rsid w:val="00B32C1C"/>
    <w:rsid w:val="00B67E2C"/>
    <w:rsid w:val="00B832C7"/>
    <w:rsid w:val="00BA546C"/>
    <w:rsid w:val="00BB105F"/>
    <w:rsid w:val="00BC209A"/>
    <w:rsid w:val="00BF2DEB"/>
    <w:rsid w:val="00BF4DB6"/>
    <w:rsid w:val="00C63E30"/>
    <w:rsid w:val="00C6607B"/>
    <w:rsid w:val="00C93DDC"/>
    <w:rsid w:val="00CD1025"/>
    <w:rsid w:val="00CD4BB0"/>
    <w:rsid w:val="00CE6043"/>
    <w:rsid w:val="00D2740F"/>
    <w:rsid w:val="00D62D85"/>
    <w:rsid w:val="00D718BE"/>
    <w:rsid w:val="00D83807"/>
    <w:rsid w:val="00D96D88"/>
    <w:rsid w:val="00DA0BFD"/>
    <w:rsid w:val="00DB5B2F"/>
    <w:rsid w:val="00DD37C5"/>
    <w:rsid w:val="00DD7043"/>
    <w:rsid w:val="00DE4B58"/>
    <w:rsid w:val="00DF2B36"/>
    <w:rsid w:val="00E2629E"/>
    <w:rsid w:val="00E3152B"/>
    <w:rsid w:val="00EE35C4"/>
    <w:rsid w:val="00EE75FB"/>
    <w:rsid w:val="00F072EA"/>
    <w:rsid w:val="00F142E9"/>
    <w:rsid w:val="00F476DB"/>
    <w:rsid w:val="00F61E54"/>
    <w:rsid w:val="00F77058"/>
    <w:rsid w:val="00FD2D60"/>
    <w:rsid w:val="00FD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1B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B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21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1B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DeJesus</dc:creator>
  <cp:lastModifiedBy>Lydia DeJesus</cp:lastModifiedBy>
  <cp:revision>1</cp:revision>
  <dcterms:created xsi:type="dcterms:W3CDTF">2012-12-26T23:58:00Z</dcterms:created>
  <dcterms:modified xsi:type="dcterms:W3CDTF">2012-12-27T00:00:00Z</dcterms:modified>
</cp:coreProperties>
</file>